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173A1E" w14:textId="681D4E9F" w:rsidR="00DB53D5" w:rsidRDefault="00DB53D5"/>
    <w:p w14:paraId="1359DA7F" w14:textId="759EB00B" w:rsidR="00DC5400" w:rsidRDefault="0080080F" w:rsidP="00DC5400">
      <w:pPr>
        <w:spacing w:line="276" w:lineRule="auto"/>
        <w:jc w:val="both"/>
      </w:pPr>
      <w:r>
        <w:rPr>
          <w:noProof/>
        </w:rPr>
        <w:drawing>
          <wp:inline distT="0" distB="0" distL="0" distR="0" wp14:anchorId="63D49F43" wp14:editId="0417ABDE">
            <wp:extent cx="4303650" cy="6308521"/>
            <wp:effectExtent l="0" t="0" r="0" b="0"/>
            <wp:docPr id="50117436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174368" name="Image 50117436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2253" cy="633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D134D" w14:textId="0CB4E8F6" w:rsidR="00DC5400" w:rsidRPr="00B64DE1" w:rsidRDefault="00DC5400" w:rsidP="00DC5400">
      <w:pPr>
        <w:spacing w:line="276" w:lineRule="auto"/>
        <w:jc w:val="both"/>
        <w:rPr>
          <w:rFonts w:ascii="Palatino Linotype" w:hAnsi="Palatino Linotype"/>
          <w:sz w:val="20"/>
          <w:szCs w:val="20"/>
          <w:lang w:val="en-US"/>
        </w:rPr>
      </w:pPr>
      <w:r w:rsidRPr="00B64DE1">
        <w:rPr>
          <w:rFonts w:ascii="Palatino Linotype" w:hAnsi="Palatino Linotype"/>
          <w:b/>
          <w:bCs/>
          <w:sz w:val="20"/>
          <w:szCs w:val="20"/>
          <w:lang w:val="en-US"/>
        </w:rPr>
        <w:t xml:space="preserve">Figure S1. </w:t>
      </w:r>
      <w:r w:rsidRPr="00B64DE1">
        <w:rPr>
          <w:rFonts w:ascii="Palatino Linotype" w:hAnsi="Palatino Linotype"/>
          <w:sz w:val="20"/>
          <w:szCs w:val="20"/>
          <w:lang w:val="en-US"/>
        </w:rPr>
        <w:t>Selection of 9 highly expressed HLA alleles with several TSA candidates.</w:t>
      </w:r>
    </w:p>
    <w:p w14:paraId="0A9A68A3" w14:textId="32AE279E" w:rsidR="00DC5400" w:rsidRDefault="00DC5400" w:rsidP="00DC5400">
      <w:pPr>
        <w:spacing w:line="276" w:lineRule="auto"/>
        <w:jc w:val="both"/>
        <w:rPr>
          <w:rFonts w:ascii="Palatino Linotype" w:hAnsi="Palatino Linotype"/>
          <w:sz w:val="20"/>
          <w:szCs w:val="20"/>
          <w:lang w:val="en-US"/>
        </w:rPr>
      </w:pPr>
      <w:r w:rsidRPr="00B64DE1">
        <w:rPr>
          <w:rFonts w:ascii="Palatino Linotype" w:hAnsi="Palatino Linotype"/>
          <w:sz w:val="20"/>
          <w:szCs w:val="20"/>
          <w:lang w:val="en-US"/>
        </w:rPr>
        <w:t>(</w:t>
      </w:r>
      <w:r w:rsidRPr="00B64DE1">
        <w:rPr>
          <w:rFonts w:ascii="Palatino Linotype" w:hAnsi="Palatino Linotype"/>
          <w:b/>
          <w:bCs/>
          <w:sz w:val="20"/>
          <w:szCs w:val="20"/>
          <w:lang w:val="en-US"/>
        </w:rPr>
        <w:t>a</w:t>
      </w:r>
      <w:r w:rsidRPr="00B64DE1">
        <w:rPr>
          <w:rFonts w:ascii="Palatino Linotype" w:hAnsi="Palatino Linotype"/>
          <w:sz w:val="20"/>
          <w:szCs w:val="20"/>
          <w:lang w:val="en-US"/>
        </w:rPr>
        <w:t xml:space="preserve">) Repartition of the 91 </w:t>
      </w:r>
      <w:proofErr w:type="spellStart"/>
      <w:r w:rsidRPr="00B64DE1">
        <w:rPr>
          <w:rFonts w:ascii="Palatino Linotype" w:hAnsi="Palatino Linotype"/>
          <w:sz w:val="20"/>
          <w:szCs w:val="20"/>
          <w:lang w:val="en-US"/>
        </w:rPr>
        <w:t>tumour</w:t>
      </w:r>
      <w:proofErr w:type="spellEnd"/>
      <w:r w:rsidRPr="00B64DE1">
        <w:rPr>
          <w:rFonts w:ascii="Palatino Linotype" w:hAnsi="Palatino Linotype"/>
          <w:sz w:val="20"/>
          <w:szCs w:val="20"/>
          <w:lang w:val="en-US"/>
        </w:rPr>
        <w:t>-specific antigens (TSAs) published in our previous study (Zhao et al., 2020) according to their HLA allele. (</w:t>
      </w:r>
      <w:r w:rsidRPr="00B64DE1">
        <w:rPr>
          <w:rFonts w:ascii="Palatino Linotype" w:hAnsi="Palatino Linotype"/>
          <w:b/>
          <w:bCs/>
          <w:sz w:val="20"/>
          <w:szCs w:val="20"/>
          <w:lang w:val="en-US"/>
        </w:rPr>
        <w:t>b</w:t>
      </w:r>
      <w:r w:rsidRPr="00B64DE1">
        <w:rPr>
          <w:rFonts w:ascii="Palatino Linotype" w:hAnsi="Palatino Linotype"/>
          <w:sz w:val="20"/>
          <w:szCs w:val="20"/>
          <w:lang w:val="en-US"/>
        </w:rPr>
        <w:t xml:space="preserve">) </w:t>
      </w:r>
      <w:r w:rsidR="00B64DE1">
        <w:rPr>
          <w:rFonts w:ascii="Palatino Linotype" w:hAnsi="Palatino Linotype"/>
          <w:sz w:val="20"/>
          <w:szCs w:val="20"/>
          <w:lang w:val="en-US"/>
        </w:rPr>
        <w:t>The proportion of TCGA samples with a TSA-coding sequence expression higher than two times the normal 95th percentile value is represented for each TSA</w:t>
      </w:r>
      <w:r w:rsidRPr="00B64DE1">
        <w:rPr>
          <w:rFonts w:ascii="Palatino Linotype" w:hAnsi="Palatino Linotype"/>
          <w:sz w:val="20"/>
          <w:szCs w:val="20"/>
          <w:lang w:val="en-US"/>
        </w:rPr>
        <w:t>. The normal 95</w:t>
      </w:r>
      <w:r w:rsidRPr="00B64DE1">
        <w:rPr>
          <w:rFonts w:ascii="Palatino Linotype" w:hAnsi="Palatino Linotype"/>
          <w:sz w:val="20"/>
          <w:szCs w:val="20"/>
          <w:vertAlign w:val="superscript"/>
          <w:lang w:val="en-US"/>
        </w:rPr>
        <w:t>th</w:t>
      </w:r>
      <w:r w:rsidRPr="00B64DE1">
        <w:rPr>
          <w:rFonts w:ascii="Palatino Linotype" w:hAnsi="Palatino Linotype"/>
          <w:sz w:val="20"/>
          <w:szCs w:val="20"/>
          <w:lang w:val="en-US"/>
        </w:rPr>
        <w:t xml:space="preserve"> percentile value corresponds to the 95</w:t>
      </w:r>
      <w:r w:rsidRPr="00B64DE1">
        <w:rPr>
          <w:rFonts w:ascii="Palatino Linotype" w:hAnsi="Palatino Linotype"/>
          <w:sz w:val="20"/>
          <w:szCs w:val="20"/>
          <w:vertAlign w:val="superscript"/>
          <w:lang w:val="en-US"/>
        </w:rPr>
        <w:t>th</w:t>
      </w:r>
      <w:r w:rsidRPr="00B64DE1">
        <w:rPr>
          <w:rFonts w:ascii="Palatino Linotype" w:hAnsi="Palatino Linotype"/>
          <w:sz w:val="20"/>
          <w:szCs w:val="20"/>
          <w:lang w:val="en-US"/>
        </w:rPr>
        <w:t xml:space="preserve"> percentile expression value calculated from all normal tissue samples used in the study (</w:t>
      </w:r>
      <w:proofErr w:type="spellStart"/>
      <w:r w:rsidRPr="00B64DE1">
        <w:rPr>
          <w:rFonts w:ascii="Palatino Linotype" w:hAnsi="Palatino Linotype"/>
          <w:sz w:val="20"/>
          <w:szCs w:val="20"/>
          <w:lang w:val="en-US"/>
        </w:rPr>
        <w:t>mTECs</w:t>
      </w:r>
      <w:proofErr w:type="spellEnd"/>
      <w:r w:rsidRPr="00B64DE1">
        <w:rPr>
          <w:rFonts w:ascii="Palatino Linotype" w:hAnsi="Palatino Linotype"/>
          <w:sz w:val="20"/>
          <w:szCs w:val="20"/>
          <w:lang w:val="en-US"/>
        </w:rPr>
        <w:t xml:space="preserve"> (n=11) + </w:t>
      </w:r>
      <w:proofErr w:type="spellStart"/>
      <w:r w:rsidRPr="00B64DE1">
        <w:rPr>
          <w:rFonts w:ascii="Palatino Linotype" w:hAnsi="Palatino Linotype"/>
          <w:sz w:val="20"/>
          <w:szCs w:val="20"/>
          <w:lang w:val="en-US"/>
        </w:rPr>
        <w:t>GTEx</w:t>
      </w:r>
      <w:proofErr w:type="spellEnd"/>
      <w:r w:rsidRPr="00B64DE1">
        <w:rPr>
          <w:rFonts w:ascii="Palatino Linotype" w:hAnsi="Palatino Linotype"/>
          <w:sz w:val="20"/>
          <w:szCs w:val="20"/>
          <w:lang w:val="en-US"/>
        </w:rPr>
        <w:t xml:space="preserve"> (except testis) (n=2439)). </w:t>
      </w:r>
      <w:r w:rsidR="00300064" w:rsidRPr="00B64DE1">
        <w:rPr>
          <w:rFonts w:ascii="Palatino Linotype" w:hAnsi="Palatino Linotype"/>
          <w:sz w:val="20"/>
          <w:szCs w:val="20"/>
          <w:lang w:val="en-US"/>
        </w:rPr>
        <w:t>(</w:t>
      </w:r>
      <w:r w:rsidR="00300064" w:rsidRPr="00B64DE1">
        <w:rPr>
          <w:rFonts w:ascii="Palatino Linotype" w:hAnsi="Palatino Linotype"/>
          <w:b/>
          <w:bCs/>
          <w:sz w:val="20"/>
          <w:szCs w:val="20"/>
          <w:lang w:val="en-US"/>
        </w:rPr>
        <w:t>c</w:t>
      </w:r>
      <w:r w:rsidR="00300064" w:rsidRPr="00B64DE1">
        <w:rPr>
          <w:rFonts w:ascii="Palatino Linotype" w:hAnsi="Palatino Linotype"/>
          <w:sz w:val="20"/>
          <w:szCs w:val="20"/>
          <w:lang w:val="en-US"/>
        </w:rPr>
        <w:t xml:space="preserve">) </w:t>
      </w:r>
      <w:r w:rsidRPr="00B64DE1">
        <w:rPr>
          <w:rFonts w:ascii="Palatino Linotype" w:hAnsi="Palatino Linotype"/>
          <w:sz w:val="20"/>
          <w:szCs w:val="20"/>
          <w:lang w:val="en-US"/>
        </w:rPr>
        <w:t xml:space="preserve">Prevalence of the nine HLA alleles selected for the present study in 4 different populations based on data from </w:t>
      </w:r>
      <w:r w:rsidR="00886C0E">
        <w:rPr>
          <w:rFonts w:ascii="Palatino Linotype" w:hAnsi="Palatino Linotype"/>
          <w:sz w:val="20"/>
          <w:szCs w:val="20"/>
          <w:lang w:val="en-US"/>
        </w:rPr>
        <w:t>[30].</w:t>
      </w:r>
    </w:p>
    <w:p w14:paraId="5B3BF10F" w14:textId="77777777" w:rsidR="00792857" w:rsidRDefault="00792857" w:rsidP="00DC5400">
      <w:pPr>
        <w:spacing w:line="276" w:lineRule="auto"/>
        <w:jc w:val="both"/>
        <w:rPr>
          <w:rFonts w:ascii="Palatino Linotype" w:hAnsi="Palatino Linotype"/>
          <w:sz w:val="20"/>
          <w:szCs w:val="20"/>
          <w:lang w:val="en-US"/>
        </w:rPr>
      </w:pPr>
    </w:p>
    <w:p w14:paraId="5F303796" w14:textId="77777777" w:rsidR="00792857" w:rsidRPr="00B64DE1" w:rsidRDefault="00792857" w:rsidP="00DC5400">
      <w:pPr>
        <w:spacing w:line="276" w:lineRule="auto"/>
        <w:jc w:val="both"/>
        <w:rPr>
          <w:rFonts w:ascii="Palatino Linotype" w:hAnsi="Palatino Linotype"/>
          <w:sz w:val="20"/>
          <w:szCs w:val="20"/>
          <w:lang w:val="en-US"/>
        </w:rPr>
      </w:pPr>
    </w:p>
    <w:p w14:paraId="3606DD93" w14:textId="3AA3115E" w:rsidR="00DC5400" w:rsidRDefault="0080080F" w:rsidP="00DC5400">
      <w:pPr>
        <w:spacing w:line="276" w:lineRule="auto"/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CDE1546" wp14:editId="3ABD1D3E">
            <wp:extent cx="5486400" cy="3697605"/>
            <wp:effectExtent l="0" t="0" r="0" b="0"/>
            <wp:docPr id="1960499687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499687" name="Image 196049968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9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CC955" w14:textId="77777777" w:rsidR="00D07F03" w:rsidRDefault="00D07F03" w:rsidP="00DC5400">
      <w:pPr>
        <w:spacing w:line="276" w:lineRule="auto"/>
        <w:jc w:val="both"/>
        <w:rPr>
          <w:lang w:val="en-US"/>
        </w:rPr>
      </w:pPr>
    </w:p>
    <w:p w14:paraId="6F5BD4B7" w14:textId="1377E9AE" w:rsidR="00D07F03" w:rsidRPr="00B64DE1" w:rsidRDefault="00D07F03" w:rsidP="00D07F03">
      <w:pPr>
        <w:spacing w:line="276" w:lineRule="auto"/>
        <w:jc w:val="both"/>
        <w:rPr>
          <w:rFonts w:ascii="Palatino Linotype" w:hAnsi="Palatino Linotype"/>
          <w:sz w:val="20"/>
          <w:szCs w:val="20"/>
          <w:lang w:val="en-US"/>
        </w:rPr>
      </w:pPr>
      <w:r w:rsidRPr="00B64DE1">
        <w:rPr>
          <w:rFonts w:ascii="Palatino Linotype" w:hAnsi="Palatino Linotype"/>
          <w:b/>
          <w:bCs/>
          <w:sz w:val="20"/>
          <w:szCs w:val="20"/>
          <w:lang w:val="en-US"/>
        </w:rPr>
        <w:t xml:space="preserve">Figure S2: </w:t>
      </w:r>
      <w:r w:rsidRPr="00B64DE1">
        <w:rPr>
          <w:rFonts w:ascii="Palatino Linotype" w:hAnsi="Palatino Linotype"/>
          <w:sz w:val="20"/>
          <w:szCs w:val="20"/>
          <w:lang w:val="en-US"/>
        </w:rPr>
        <w:t>Predicted HLA binding and stability of the 48 TSAs.</w:t>
      </w:r>
    </w:p>
    <w:p w14:paraId="30FC5B54" w14:textId="2548BE15" w:rsidR="00D07F03" w:rsidRPr="00B64DE1" w:rsidRDefault="00D07F03" w:rsidP="00D07F03">
      <w:pPr>
        <w:spacing w:line="276" w:lineRule="auto"/>
        <w:jc w:val="both"/>
        <w:rPr>
          <w:rFonts w:ascii="Palatino Linotype" w:hAnsi="Palatino Linotype"/>
          <w:sz w:val="20"/>
          <w:szCs w:val="20"/>
          <w:lang w:val="en-US"/>
        </w:rPr>
      </w:pPr>
      <w:r w:rsidRPr="00B64DE1">
        <w:rPr>
          <w:rFonts w:ascii="Palatino Linotype" w:hAnsi="Palatino Linotype"/>
          <w:sz w:val="20"/>
          <w:szCs w:val="20"/>
          <w:lang w:val="en-US"/>
        </w:rPr>
        <w:t>(</w:t>
      </w:r>
      <w:r w:rsidRPr="00B64DE1">
        <w:rPr>
          <w:rFonts w:ascii="Palatino Linotype" w:hAnsi="Palatino Linotype"/>
          <w:b/>
          <w:bCs/>
          <w:sz w:val="20"/>
          <w:szCs w:val="20"/>
          <w:lang w:val="en-US"/>
        </w:rPr>
        <w:t>a</w:t>
      </w:r>
      <w:r w:rsidRPr="00B64DE1">
        <w:rPr>
          <w:rFonts w:ascii="Palatino Linotype" w:hAnsi="Palatino Linotype"/>
          <w:sz w:val="20"/>
          <w:szCs w:val="20"/>
          <w:lang w:val="en-US"/>
        </w:rPr>
        <w:t xml:space="preserve">) Predicted binding affinity rank of each peptide for the relevant HLA allele obtained from NetMHCpan4.1 database. The dotted line represents the threshold for predicted strong binders (0.5%). </w:t>
      </w:r>
      <w:r w:rsidR="00746834" w:rsidRPr="00B64DE1">
        <w:rPr>
          <w:rFonts w:ascii="Palatino Linotype" w:hAnsi="Palatino Linotype"/>
          <w:sz w:val="20"/>
          <w:szCs w:val="20"/>
          <w:lang w:val="en-US"/>
        </w:rPr>
        <w:t>(</w:t>
      </w:r>
      <w:r w:rsidR="00746834" w:rsidRPr="00B64DE1">
        <w:rPr>
          <w:rFonts w:ascii="Palatino Linotype" w:hAnsi="Palatino Linotype"/>
          <w:b/>
          <w:bCs/>
          <w:sz w:val="20"/>
          <w:szCs w:val="20"/>
          <w:lang w:val="en-US"/>
        </w:rPr>
        <w:t>b</w:t>
      </w:r>
      <w:r w:rsidR="00746834" w:rsidRPr="00B64DE1">
        <w:rPr>
          <w:rFonts w:ascii="Palatino Linotype" w:hAnsi="Palatino Linotype"/>
          <w:sz w:val="20"/>
          <w:szCs w:val="20"/>
          <w:lang w:val="en-US"/>
        </w:rPr>
        <w:t xml:space="preserve">) </w:t>
      </w:r>
      <w:r w:rsidRPr="00B64DE1">
        <w:rPr>
          <w:rFonts w:ascii="Palatino Linotype" w:hAnsi="Palatino Linotype"/>
          <w:sz w:val="20"/>
          <w:szCs w:val="20"/>
          <w:lang w:val="en-US"/>
        </w:rPr>
        <w:t xml:space="preserve">Correlation between predicted binding affinity (in </w:t>
      </w:r>
      <w:proofErr w:type="spellStart"/>
      <w:r w:rsidRPr="00B64DE1">
        <w:rPr>
          <w:rFonts w:ascii="Palatino Linotype" w:hAnsi="Palatino Linotype"/>
          <w:sz w:val="20"/>
          <w:szCs w:val="20"/>
          <w:lang w:val="en-US"/>
        </w:rPr>
        <w:t>nM</w:t>
      </w:r>
      <w:proofErr w:type="spellEnd"/>
      <w:r w:rsidRPr="00B64DE1">
        <w:rPr>
          <w:rFonts w:ascii="Palatino Linotype" w:hAnsi="Palatino Linotype"/>
          <w:sz w:val="20"/>
          <w:szCs w:val="20"/>
          <w:lang w:val="en-US"/>
        </w:rPr>
        <w:t xml:space="preserve"> from NetMHCpan4.1; lower is the value, higher is the affinity) and predicted half-life stability for peptide-HLA complexes (in hours from NetMHCstabpan1.0) for the 48 </w:t>
      </w:r>
      <w:proofErr w:type="spellStart"/>
      <w:r w:rsidRPr="00B64DE1">
        <w:rPr>
          <w:rFonts w:ascii="Palatino Linotype" w:hAnsi="Palatino Linotype"/>
          <w:sz w:val="20"/>
          <w:szCs w:val="20"/>
          <w:lang w:val="en-US"/>
        </w:rPr>
        <w:t>tumour</w:t>
      </w:r>
      <w:proofErr w:type="spellEnd"/>
      <w:r w:rsidRPr="00B64DE1">
        <w:rPr>
          <w:rFonts w:ascii="Palatino Linotype" w:hAnsi="Palatino Linotype"/>
          <w:sz w:val="20"/>
          <w:szCs w:val="20"/>
          <w:lang w:val="en-US"/>
        </w:rPr>
        <w:t xml:space="preserve">-specific antigens (TSAs). Legend for </w:t>
      </w:r>
      <w:proofErr w:type="spellStart"/>
      <w:r w:rsidRPr="00B64DE1">
        <w:rPr>
          <w:rFonts w:ascii="Palatino Linotype" w:hAnsi="Palatino Linotype"/>
          <w:sz w:val="20"/>
          <w:szCs w:val="20"/>
          <w:lang w:val="en-US"/>
        </w:rPr>
        <w:t>colours</w:t>
      </w:r>
      <w:proofErr w:type="spellEnd"/>
      <w:r w:rsidRPr="00B64DE1">
        <w:rPr>
          <w:rFonts w:ascii="Palatino Linotype" w:hAnsi="Palatino Linotype"/>
          <w:sz w:val="20"/>
          <w:szCs w:val="20"/>
          <w:lang w:val="en-US"/>
        </w:rPr>
        <w:t xml:space="preserve"> is represented (TSAs = peptides 1 to 48), and grey and white symbols represent control peptides (ctl1 to 9 and MelanA in </w:t>
      </w:r>
      <w:r w:rsidR="00746834" w:rsidRPr="00B64DE1">
        <w:rPr>
          <w:rFonts w:ascii="Palatino Linotype" w:hAnsi="Palatino Linotype"/>
          <w:sz w:val="20"/>
          <w:szCs w:val="20"/>
          <w:lang w:val="en-US"/>
        </w:rPr>
        <w:t xml:space="preserve">panel </w:t>
      </w:r>
      <w:r w:rsidRPr="00B64DE1">
        <w:rPr>
          <w:rFonts w:ascii="Palatino Linotype" w:hAnsi="Palatino Linotype"/>
          <w:sz w:val="20"/>
          <w:szCs w:val="20"/>
          <w:lang w:val="en-US"/>
        </w:rPr>
        <w:t>a).</w:t>
      </w:r>
    </w:p>
    <w:p w14:paraId="68A8937D" w14:textId="77777777" w:rsidR="00D07F03" w:rsidRPr="00B64DE1" w:rsidRDefault="00D07F03" w:rsidP="00DC5400">
      <w:pPr>
        <w:spacing w:line="276" w:lineRule="auto"/>
        <w:jc w:val="both"/>
        <w:rPr>
          <w:sz w:val="20"/>
          <w:szCs w:val="20"/>
          <w:lang w:val="en-US"/>
        </w:rPr>
      </w:pPr>
    </w:p>
    <w:p w14:paraId="0978CB26" w14:textId="77777777" w:rsidR="00886C0E" w:rsidRDefault="00886C0E" w:rsidP="00DC5400">
      <w:pPr>
        <w:spacing w:line="276" w:lineRule="auto"/>
        <w:jc w:val="both"/>
        <w:rPr>
          <w:lang w:val="en-US"/>
        </w:rPr>
      </w:pPr>
    </w:p>
    <w:p w14:paraId="3BFF6C69" w14:textId="77777777" w:rsidR="00886C0E" w:rsidRDefault="00886C0E" w:rsidP="00DC5400">
      <w:pPr>
        <w:spacing w:line="276" w:lineRule="auto"/>
        <w:jc w:val="both"/>
        <w:rPr>
          <w:lang w:val="en-US"/>
        </w:rPr>
      </w:pPr>
    </w:p>
    <w:p w14:paraId="76925242" w14:textId="0581034D" w:rsidR="00D07F03" w:rsidRPr="00DC5400" w:rsidRDefault="00886C0E" w:rsidP="00886C0E">
      <w:pPr>
        <w:rPr>
          <w:lang w:val="en-US"/>
        </w:rPr>
      </w:pPr>
      <w:r>
        <w:fldChar w:fldCharType="begin"/>
      </w:r>
      <w:r>
        <w:instrText xml:space="preserve"> ADDIN EN.REFLIST </w:instrText>
      </w:r>
      <w:r w:rsidR="00000000">
        <w:fldChar w:fldCharType="separate"/>
      </w:r>
      <w:r>
        <w:rPr>
          <w:lang w:val="en-US"/>
        </w:rPr>
        <w:fldChar w:fldCharType="end"/>
      </w:r>
    </w:p>
    <w:sectPr w:rsidR="00D07F03" w:rsidRPr="00DC5400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499E73" w14:textId="77777777" w:rsidR="00CF5EAF" w:rsidRDefault="00CF5EAF" w:rsidP="00FF7966">
      <w:r>
        <w:separator/>
      </w:r>
    </w:p>
  </w:endnote>
  <w:endnote w:type="continuationSeparator" w:id="0">
    <w:p w14:paraId="7AF4587C" w14:textId="77777777" w:rsidR="00CF5EAF" w:rsidRDefault="00CF5EAF" w:rsidP="00FF79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A79693" w14:textId="77777777" w:rsidR="00CF5EAF" w:rsidRDefault="00CF5EAF" w:rsidP="00FF7966">
      <w:r>
        <w:separator/>
      </w:r>
    </w:p>
  </w:footnote>
  <w:footnote w:type="continuationSeparator" w:id="0">
    <w:p w14:paraId="1D303995" w14:textId="77777777" w:rsidR="00CF5EAF" w:rsidRDefault="00CF5EAF" w:rsidP="00FF796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umbered&lt;/Style&gt;&lt;LeftDelim&gt;{&lt;/LeftDelim&gt;&lt;RightDelim&gt;}&lt;/RightDelim&gt;&lt;FontName&gt;Calibri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22w225rae9w9v7es0zpv9z9k0wxtz95ffd20&quot;&gt;article_LeadAction&lt;record-ids&gt;&lt;item&gt;5&lt;/item&gt;&lt;/record-ids&gt;&lt;/item&gt;&lt;/Libraries&gt;"/>
  </w:docVars>
  <w:rsids>
    <w:rsidRoot w:val="00DC5400"/>
    <w:rsid w:val="00061F42"/>
    <w:rsid w:val="000C7B76"/>
    <w:rsid w:val="001628C3"/>
    <w:rsid w:val="001B0829"/>
    <w:rsid w:val="00236B90"/>
    <w:rsid w:val="002550CC"/>
    <w:rsid w:val="00300064"/>
    <w:rsid w:val="004821C6"/>
    <w:rsid w:val="004A670E"/>
    <w:rsid w:val="00587A30"/>
    <w:rsid w:val="00746834"/>
    <w:rsid w:val="0075739D"/>
    <w:rsid w:val="00792857"/>
    <w:rsid w:val="0080080F"/>
    <w:rsid w:val="00836D8A"/>
    <w:rsid w:val="00861059"/>
    <w:rsid w:val="00886C0E"/>
    <w:rsid w:val="00965203"/>
    <w:rsid w:val="00B64DE1"/>
    <w:rsid w:val="00CF5EAF"/>
    <w:rsid w:val="00D07F03"/>
    <w:rsid w:val="00DB53D5"/>
    <w:rsid w:val="00DC5400"/>
    <w:rsid w:val="00E440F6"/>
    <w:rsid w:val="00EC6127"/>
    <w:rsid w:val="00F70A59"/>
    <w:rsid w:val="00FF7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D18BF1"/>
  <w15:chartTrackingRefBased/>
  <w15:docId w15:val="{DCA616AF-8CA0-A543-98F4-C39065B149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C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DC540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DC540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DC540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DC540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DC540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DC5400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DC5400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DC5400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DC540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DC540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DC540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DC540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DC5400"/>
    <w:rPr>
      <w:rFonts w:eastAsiaTheme="majorEastAsia" w:cstheme="majorBidi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DC5400"/>
    <w:rPr>
      <w:rFonts w:eastAsiaTheme="majorEastAsia" w:cstheme="majorBidi"/>
      <w:color w:val="2F5496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DC5400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DC5400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DC5400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DC5400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DC540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DC540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DC5400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DC540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DC540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DC5400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DC5400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DC5400"/>
    <w:rPr>
      <w:i/>
      <w:iCs/>
      <w:color w:val="2F5496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DC540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DC5400"/>
    <w:rPr>
      <w:i/>
      <w:iCs/>
      <w:color w:val="2F5496" w:themeColor="accent1" w:themeShade="BF"/>
    </w:rPr>
  </w:style>
  <w:style w:type="character" w:styleId="Rfrenceintense">
    <w:name w:val="Intense Reference"/>
    <w:basedOn w:val="Policepardfaut"/>
    <w:uiPriority w:val="32"/>
    <w:qFormat/>
    <w:rsid w:val="00DC5400"/>
    <w:rPr>
      <w:b/>
      <w:bCs/>
      <w:smallCaps/>
      <w:color w:val="2F5496" w:themeColor="accent1" w:themeShade="BF"/>
      <w:spacing w:val="5"/>
    </w:rPr>
  </w:style>
  <w:style w:type="paragraph" w:customStyle="1" w:styleId="EndNoteBibliographyTitle">
    <w:name w:val="EndNote Bibliography Title"/>
    <w:basedOn w:val="Normal"/>
    <w:link w:val="EndNoteBibliographyTitleCar"/>
    <w:rsid w:val="00886C0E"/>
    <w:pPr>
      <w:jc w:val="center"/>
    </w:pPr>
    <w:rPr>
      <w:rFonts w:ascii="Calibri" w:hAnsi="Calibri" w:cs="Calibri"/>
      <w:lang w:val="en-US"/>
    </w:rPr>
  </w:style>
  <w:style w:type="character" w:customStyle="1" w:styleId="EndNoteBibliographyTitleCar">
    <w:name w:val="EndNote Bibliography Title Car"/>
    <w:basedOn w:val="Policepardfaut"/>
    <w:link w:val="EndNoteBibliographyTitle"/>
    <w:rsid w:val="00886C0E"/>
    <w:rPr>
      <w:rFonts w:ascii="Calibri" w:hAnsi="Calibri" w:cs="Calibri"/>
      <w:lang w:val="en-US"/>
    </w:rPr>
  </w:style>
  <w:style w:type="paragraph" w:customStyle="1" w:styleId="EndNoteBibliography">
    <w:name w:val="EndNote Bibliography"/>
    <w:basedOn w:val="Normal"/>
    <w:link w:val="EndNoteBibliographyCar"/>
    <w:rsid w:val="00886C0E"/>
    <w:pPr>
      <w:jc w:val="both"/>
    </w:pPr>
    <w:rPr>
      <w:rFonts w:ascii="Calibri" w:hAnsi="Calibri" w:cs="Calibri"/>
      <w:lang w:val="en-US"/>
    </w:rPr>
  </w:style>
  <w:style w:type="character" w:customStyle="1" w:styleId="EndNoteBibliographyCar">
    <w:name w:val="EndNote Bibliography Car"/>
    <w:basedOn w:val="Policepardfaut"/>
    <w:link w:val="EndNoteBibliography"/>
    <w:rsid w:val="00886C0E"/>
    <w:rPr>
      <w:rFonts w:ascii="Calibri" w:hAnsi="Calibri" w:cs="Calibri"/>
      <w:lang w:val="en-US"/>
    </w:rPr>
  </w:style>
  <w:style w:type="paragraph" w:styleId="En-tte">
    <w:name w:val="header"/>
    <w:basedOn w:val="Normal"/>
    <w:link w:val="En-tteCar"/>
    <w:uiPriority w:val="99"/>
    <w:unhideWhenUsed/>
    <w:rsid w:val="00FF7966"/>
    <w:pPr>
      <w:tabs>
        <w:tab w:val="center" w:pos="4320"/>
        <w:tab w:val="right" w:pos="8640"/>
      </w:tabs>
    </w:pPr>
  </w:style>
  <w:style w:type="character" w:customStyle="1" w:styleId="En-tteCar">
    <w:name w:val="En-tête Car"/>
    <w:basedOn w:val="Policepardfaut"/>
    <w:link w:val="En-tte"/>
    <w:uiPriority w:val="99"/>
    <w:rsid w:val="00FF7966"/>
  </w:style>
  <w:style w:type="paragraph" w:styleId="Pieddepage">
    <w:name w:val="footer"/>
    <w:basedOn w:val="Normal"/>
    <w:link w:val="PieddepageCar"/>
    <w:uiPriority w:val="99"/>
    <w:unhideWhenUsed/>
    <w:rsid w:val="00FF7966"/>
    <w:pPr>
      <w:tabs>
        <w:tab w:val="center" w:pos="4320"/>
        <w:tab w:val="right" w:pos="8640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F79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590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1D66A006-372F-6E42-85A2-1310F88EF5A3}">
  <we:reference id="f518cb36-c901-4d52-a9e7-4331342e485d" version="1.2.0.0" store="EXCatalog" storeType="EXCatalog"/>
  <we:alternateReferences>
    <we:reference id="WA200001011" version="1.2.0.0" store="fr-CA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216</Words>
  <Characters>1180</Characters>
  <Application>Microsoft Office Word</Application>
  <DocSecurity>0</DocSecurity>
  <Lines>28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Leslie Hesnard</dc:creator>
  <cp:keywords/>
  <dc:description/>
  <cp:lastModifiedBy>Leslie Hesnard</cp:lastModifiedBy>
  <cp:revision>11</cp:revision>
  <dcterms:created xsi:type="dcterms:W3CDTF">2024-01-31T20:04:00Z</dcterms:created>
  <dcterms:modified xsi:type="dcterms:W3CDTF">2024-04-04T14:59:00Z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documentId_2977</vt:lpwstr>
  </property>
  <property fmtid="{D5CDD505-2E9C-101B-9397-08002B2CF9AE}" pid="3" name="grammarly_documentContext">
    <vt:lpwstr>{"goals":[],"domain":"general","emotions":[],"dialect":"canadian"}</vt:lpwstr>
  </property>
</Properties>
</file>